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BC1B6" w14:textId="6A436D77" w:rsidR="00317F63" w:rsidRPr="00702A88" w:rsidRDefault="00317F63" w:rsidP="00317F63">
      <w:pPr>
        <w:pStyle w:val="3GPPHeader"/>
      </w:pPr>
      <w:r w:rsidRPr="008B0E22">
        <w:t>3GPP RAN WG2 Meeting #1</w:t>
      </w:r>
      <w:r>
        <w:t>21</w:t>
      </w:r>
      <w:r w:rsidRPr="008B0E22">
        <w:tab/>
      </w:r>
      <w:r w:rsidR="00C348B6" w:rsidRPr="00C348B6">
        <w:t>R2-2301497</w:t>
      </w:r>
      <w:r w:rsidRPr="008B0E22">
        <w:br/>
      </w:r>
      <w:r w:rsidRPr="00A867AD">
        <w:t>Athens, February 27- March 3, 2023</w:t>
      </w:r>
      <w:r>
        <w:tab/>
      </w:r>
      <w:r>
        <w:tab/>
      </w:r>
    </w:p>
    <w:p w14:paraId="214329A0" w14:textId="77777777" w:rsidR="00317F63" w:rsidRPr="00504068" w:rsidRDefault="00317F63" w:rsidP="00317F63">
      <w:pPr>
        <w:pStyle w:val="3GPPHeader"/>
        <w:rPr>
          <w:sz w:val="22"/>
          <w:szCs w:val="22"/>
          <w:lang w:val="en-US"/>
        </w:rPr>
      </w:pPr>
      <w:r w:rsidRPr="00504068">
        <w:rPr>
          <w:sz w:val="22"/>
          <w:szCs w:val="22"/>
          <w:lang w:val="en-US"/>
        </w:rPr>
        <w:t>Agenda Item:</w:t>
      </w:r>
      <w:r w:rsidRPr="00504068">
        <w:rPr>
          <w:sz w:val="22"/>
          <w:szCs w:val="22"/>
          <w:lang w:val="en-US"/>
        </w:rPr>
        <w:tab/>
      </w:r>
      <w:r w:rsidRPr="00583731">
        <w:rPr>
          <w:sz w:val="22"/>
          <w:szCs w:val="22"/>
          <w:lang w:val="en-US"/>
        </w:rPr>
        <w:t>8.</w:t>
      </w:r>
      <w:r>
        <w:rPr>
          <w:sz w:val="22"/>
          <w:szCs w:val="22"/>
          <w:lang w:val="en-US"/>
        </w:rPr>
        <w:t>18.2</w:t>
      </w:r>
    </w:p>
    <w:p w14:paraId="28A0B60B" w14:textId="77777777" w:rsidR="00317F63" w:rsidRPr="00504068" w:rsidRDefault="00317F63" w:rsidP="00317F63">
      <w:pPr>
        <w:pStyle w:val="3GPPHeader"/>
        <w:rPr>
          <w:sz w:val="22"/>
          <w:szCs w:val="22"/>
          <w:lang w:val="en-US"/>
        </w:rPr>
      </w:pPr>
      <w:r w:rsidRPr="00504068">
        <w:rPr>
          <w:sz w:val="22"/>
          <w:szCs w:val="22"/>
          <w:lang w:val="en-US"/>
        </w:rPr>
        <w:t>Source:</w:t>
      </w:r>
      <w:r w:rsidRPr="00504068">
        <w:rPr>
          <w:sz w:val="22"/>
          <w:szCs w:val="22"/>
          <w:lang w:val="en-US"/>
        </w:rPr>
        <w:tab/>
        <w:t>InterDigital</w:t>
      </w:r>
    </w:p>
    <w:p w14:paraId="38749272" w14:textId="77777777" w:rsidR="00317F63" w:rsidRPr="0056425C" w:rsidRDefault="00317F63" w:rsidP="00317F63">
      <w:pPr>
        <w:pStyle w:val="3GPPHeader"/>
        <w:jc w:val="left"/>
        <w:rPr>
          <w:color w:val="000000"/>
          <w:sz w:val="22"/>
          <w:szCs w:val="22"/>
          <w:lang w:val="en-US"/>
        </w:rPr>
      </w:pPr>
      <w:r w:rsidRPr="004A1A95">
        <w:rPr>
          <w:sz w:val="22"/>
          <w:szCs w:val="22"/>
        </w:rPr>
        <w:t>Title:</w:t>
      </w:r>
      <w:r w:rsidRPr="004A1A95">
        <w:rPr>
          <w:sz w:val="22"/>
          <w:szCs w:val="22"/>
        </w:rPr>
        <w:tab/>
      </w:r>
      <w:r w:rsidRPr="00FB582E">
        <w:rPr>
          <w:sz w:val="22"/>
          <w:szCs w:val="22"/>
        </w:rPr>
        <w:t>Mobile terminated SDT</w:t>
      </w:r>
    </w:p>
    <w:p w14:paraId="6B230012" w14:textId="77777777" w:rsidR="00317F63" w:rsidRPr="004A1A95" w:rsidRDefault="00317F63" w:rsidP="00317F63">
      <w:pPr>
        <w:pStyle w:val="3GPPHeader"/>
        <w:rPr>
          <w:sz w:val="22"/>
          <w:szCs w:val="22"/>
        </w:rPr>
      </w:pPr>
      <w:r w:rsidRPr="004A1A95">
        <w:rPr>
          <w:sz w:val="22"/>
          <w:szCs w:val="22"/>
        </w:rPr>
        <w:t>Document for:</w:t>
      </w:r>
      <w:r w:rsidRPr="004A1A95">
        <w:rPr>
          <w:sz w:val="22"/>
          <w:szCs w:val="22"/>
        </w:rPr>
        <w:tab/>
        <w:t>Discussion, Decision</w:t>
      </w:r>
      <w:r>
        <w:rPr>
          <w:sz w:val="22"/>
          <w:szCs w:val="22"/>
        </w:rPr>
        <w:t xml:space="preserve"> </w:t>
      </w:r>
    </w:p>
    <w:p w14:paraId="38C69884" w14:textId="77777777" w:rsidR="00317F63" w:rsidRDefault="00317F63" w:rsidP="00317F63">
      <w:pPr>
        <w:pStyle w:val="Heading1"/>
      </w:pPr>
      <w:r w:rsidRPr="004A1A95">
        <w:t>Introduction</w:t>
      </w:r>
    </w:p>
    <w:p w14:paraId="35D5E209" w14:textId="77777777" w:rsidR="00317F63" w:rsidRPr="00A56945" w:rsidRDefault="00317F63" w:rsidP="00317F63">
      <w:pPr>
        <w:spacing w:before="240"/>
        <w:rPr>
          <w:rFonts w:eastAsia="SimSun"/>
        </w:rPr>
      </w:pPr>
      <w:r w:rsidRPr="00A56945">
        <w:t xml:space="preserve">RAN approved a new </w:t>
      </w:r>
      <w:r>
        <w:t>work</w:t>
      </w:r>
      <w:r w:rsidRPr="00A56945">
        <w:t xml:space="preserve"> item on </w:t>
      </w:r>
      <w:r>
        <w:t>mobile terminated small data transmission (MT-SDT)</w:t>
      </w:r>
      <w:r w:rsidRPr="00A56945">
        <w:t xml:space="preserve"> [1]. </w:t>
      </w:r>
      <w:r w:rsidRPr="00D94C3E">
        <w:rPr>
          <w:rFonts w:eastAsia="SimSun"/>
        </w:rPr>
        <w:t xml:space="preserve">Rel-17 specified MO-SDT to allow small packet transmission for UL-oriented packets. MT-SDT allows similar benefits, </w:t>
      </w:r>
      <w:r>
        <w:rPr>
          <w:rFonts w:eastAsia="SimSun"/>
        </w:rPr>
        <w:t>by</w:t>
      </w:r>
      <w:r w:rsidRPr="00D94C3E">
        <w:rPr>
          <w:rFonts w:eastAsia="SimSun"/>
        </w:rPr>
        <w:t xml:space="preserve"> reducing signalling overhead and UE power consumption by </w:t>
      </w:r>
      <w:r>
        <w:rPr>
          <w:rFonts w:eastAsia="SimSun"/>
        </w:rPr>
        <w:t>remaining in Inactive state</w:t>
      </w:r>
      <w:r w:rsidRPr="00D94C3E">
        <w:rPr>
          <w:rFonts w:eastAsia="SimSun"/>
        </w:rPr>
        <w:t xml:space="preserve"> and reducing latency by allowing fast transmission of </w:t>
      </w:r>
      <w:r>
        <w:rPr>
          <w:rFonts w:eastAsia="SimSun"/>
        </w:rPr>
        <w:t>transport blocks</w:t>
      </w:r>
      <w:r w:rsidRPr="00D94C3E">
        <w:rPr>
          <w:rFonts w:eastAsia="SimSun"/>
        </w:rPr>
        <w:t>.</w:t>
      </w:r>
      <w:r>
        <w:rPr>
          <w:rFonts w:eastAsia="SimSun"/>
        </w:rPr>
        <w:t xml:space="preserve"> The work item has the following objective:</w:t>
      </w:r>
    </w:p>
    <w:p w14:paraId="694D4431" w14:textId="77777777" w:rsidR="00317F63" w:rsidRPr="00D94C3E" w:rsidRDefault="00317F63" w:rsidP="00317F63">
      <w:pPr>
        <w:ind w:left="567"/>
        <w:rPr>
          <w:rFonts w:ascii="Times New Roman" w:hAnsi="Times New Roman"/>
          <w:lang w:eastAsia="en-GB"/>
        </w:rPr>
      </w:pPr>
      <w:r w:rsidRPr="00D94C3E">
        <w:rPr>
          <w:rFonts w:ascii="Times New Roman" w:hAnsi="Times New Roman"/>
          <w:lang w:eastAsia="en-GB"/>
        </w:rPr>
        <w:t>Specify the support for paging-triggered SDT (MT-SDT) [</w:t>
      </w:r>
      <w:r w:rsidRPr="00D94C3E">
        <w:rPr>
          <w:rFonts w:ascii="Times New Roman" w:hAnsi="Times New Roman"/>
          <w:b/>
          <w:bCs/>
          <w:lang w:eastAsia="en-GB"/>
        </w:rPr>
        <w:t>RAN2</w:t>
      </w:r>
      <w:r w:rsidRPr="00D94C3E">
        <w:rPr>
          <w:rFonts w:ascii="Times New Roman" w:hAnsi="Times New Roman"/>
          <w:lang w:eastAsia="en-GB"/>
        </w:rPr>
        <w:t>, RAN3]</w:t>
      </w:r>
    </w:p>
    <w:p w14:paraId="543DEC3C" w14:textId="77777777" w:rsidR="00317F63" w:rsidRPr="00D94C3E" w:rsidRDefault="00317F63" w:rsidP="00317F63">
      <w:pPr>
        <w:numPr>
          <w:ilvl w:val="0"/>
          <w:numId w:val="3"/>
        </w:numPr>
        <w:overflowPunct/>
        <w:autoSpaceDE/>
        <w:autoSpaceDN/>
        <w:adjustRightInd/>
        <w:spacing w:after="160" w:line="259" w:lineRule="auto"/>
        <w:ind w:left="1287"/>
        <w:contextualSpacing/>
        <w:jc w:val="left"/>
        <w:textAlignment w:val="auto"/>
        <w:rPr>
          <w:rFonts w:ascii="Times New Roman" w:eastAsia="Yu Mincho" w:hAnsi="Times New Roman"/>
          <w:lang w:eastAsia="ja-JP"/>
        </w:rPr>
      </w:pPr>
      <w:r w:rsidRPr="00D94C3E">
        <w:rPr>
          <w:rFonts w:ascii="Times New Roman" w:eastAsia="Yu Mincho" w:hAnsi="Times New Roman"/>
          <w:lang w:eastAsia="ja-JP"/>
        </w:rPr>
        <w:t>MT-SDT triggering mechanism for UEs in RRC_INACTIVE, supporting RA-SDT and CG-SDT as the UL response;</w:t>
      </w:r>
    </w:p>
    <w:p w14:paraId="669C8ADE" w14:textId="77777777" w:rsidR="00317F63" w:rsidRPr="00D94C3E" w:rsidRDefault="00317F63" w:rsidP="00317F63">
      <w:pPr>
        <w:numPr>
          <w:ilvl w:val="0"/>
          <w:numId w:val="3"/>
        </w:numPr>
        <w:overflowPunct/>
        <w:autoSpaceDE/>
        <w:autoSpaceDN/>
        <w:adjustRightInd/>
        <w:spacing w:after="160" w:line="259" w:lineRule="auto"/>
        <w:ind w:left="1287"/>
        <w:contextualSpacing/>
        <w:jc w:val="left"/>
        <w:textAlignment w:val="auto"/>
        <w:rPr>
          <w:rFonts w:ascii="Times New Roman" w:eastAsia="Yu Mincho" w:hAnsi="Times New Roman"/>
          <w:lang w:eastAsia="ja-JP"/>
        </w:rPr>
      </w:pPr>
      <w:r w:rsidRPr="00D94C3E">
        <w:rPr>
          <w:rFonts w:ascii="Times New Roman" w:eastAsia="Yu Mincho" w:hAnsi="Times New Roman"/>
          <w:lang w:eastAsia="ja-JP"/>
        </w:rPr>
        <w:t>MT-SDT procedure for initial DL data reception and subsequent UL/DL data transmissions in RRC_INACTIVE.</w:t>
      </w:r>
    </w:p>
    <w:p w14:paraId="1E885505" w14:textId="77777777" w:rsidR="00317F63" w:rsidRPr="00D94C3E" w:rsidRDefault="00317F63" w:rsidP="00317F63">
      <w:pPr>
        <w:spacing w:after="0"/>
        <w:ind w:left="567"/>
        <w:jc w:val="left"/>
        <w:rPr>
          <w:rFonts w:ascii="Times New Roman" w:hAnsi="Times New Roman"/>
          <w:bCs/>
          <w:lang w:eastAsia="en-GB"/>
        </w:rPr>
      </w:pPr>
      <w:r w:rsidRPr="00D94C3E">
        <w:rPr>
          <w:rFonts w:ascii="Times New Roman" w:hAnsi="Times New Roman"/>
          <w:bCs/>
          <w:lang w:eastAsia="en-GB"/>
        </w:rPr>
        <w:t xml:space="preserve">Note: Data transmission in DL within paging message is not in scope of this WI.  </w:t>
      </w:r>
    </w:p>
    <w:p w14:paraId="6F3269A5" w14:textId="77777777" w:rsidR="00317F63" w:rsidRDefault="00317F63" w:rsidP="00317F63"/>
    <w:p w14:paraId="3432E8A1" w14:textId="7CAA64EA" w:rsidR="00317F63" w:rsidRPr="00317F63" w:rsidRDefault="00317F63" w:rsidP="00317F63">
      <w:pPr>
        <w:rPr>
          <w:lang w:eastAsia="sv-SE"/>
        </w:rPr>
      </w:pPr>
      <w:r w:rsidRPr="00317F63">
        <w:rPr>
          <w:lang w:eastAsia="sv-SE"/>
        </w:rPr>
        <w:t>The following was agreed in RAN#120 meeting:</w:t>
      </w:r>
    </w:p>
    <w:p w14:paraId="20132ABA" w14:textId="77777777" w:rsidR="00317F63" w:rsidRPr="00305B9C" w:rsidRDefault="00317F63" w:rsidP="00317F63">
      <w:pPr>
        <w:pStyle w:val="Doc-text2"/>
        <w:pBdr>
          <w:top w:val="single" w:sz="4" w:space="1" w:color="auto"/>
          <w:left w:val="single" w:sz="4" w:space="4" w:color="auto"/>
          <w:bottom w:val="single" w:sz="4" w:space="1" w:color="auto"/>
          <w:right w:val="single" w:sz="4" w:space="4" w:color="auto"/>
        </w:pBdr>
        <w:rPr>
          <w:b/>
          <w:bCs/>
        </w:rPr>
      </w:pPr>
      <w:r w:rsidRPr="00305B9C">
        <w:rPr>
          <w:b/>
          <w:bCs/>
        </w:rPr>
        <w:t>Agreements</w:t>
      </w:r>
    </w:p>
    <w:p w14:paraId="1A5AEAEE" w14:textId="77777777" w:rsidR="00317F63" w:rsidRPr="00305B9C" w:rsidRDefault="00317F63" w:rsidP="00317F63">
      <w:pPr>
        <w:pStyle w:val="Doc-text2"/>
        <w:numPr>
          <w:ilvl w:val="0"/>
          <w:numId w:val="4"/>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For RAN paging, MT-SDT indication (at least one bit) is explicitly included per UE via a paging message.  FFS if more information for MT-SDT are needed FFS what the indication will be called.  FFS signalling details</w:t>
      </w:r>
    </w:p>
    <w:p w14:paraId="2CF35945" w14:textId="77777777" w:rsidR="00317F63" w:rsidRPr="00305B9C" w:rsidRDefault="00317F63" w:rsidP="00317F63">
      <w:pPr>
        <w:pStyle w:val="Doc-text2"/>
        <w:numPr>
          <w:ilvl w:val="0"/>
          <w:numId w:val="4"/>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 xml:space="preserve">Rel-18 MT-SDT after the MT-SDT paging trigger is detected, RA-SDT and CG SDT solutions/procedures specified in Rel-17 is re-used as a baseline.  The detailed triggers will be discussed on case by case.  FFS on resources used for access  </w:t>
      </w:r>
    </w:p>
    <w:p w14:paraId="0EB4775F" w14:textId="77777777" w:rsidR="00317F63" w:rsidRPr="00305B9C" w:rsidRDefault="00317F63" w:rsidP="00317F63">
      <w:pPr>
        <w:pStyle w:val="Doc-text2"/>
        <w:numPr>
          <w:ilvl w:val="0"/>
          <w:numId w:val="4"/>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 xml:space="preserve">UE can use non-SDT random access resources for accessing the network for an MT-SDT transfer.  The UE can also use the configured grant resources and/or MO-RA resources.  </w:t>
      </w:r>
    </w:p>
    <w:p w14:paraId="3C54400B" w14:textId="77777777" w:rsidR="00317F63" w:rsidRPr="00305B9C" w:rsidRDefault="00317F63" w:rsidP="00317F63">
      <w:pPr>
        <w:pStyle w:val="Doc-text2"/>
        <w:numPr>
          <w:ilvl w:val="0"/>
          <w:numId w:val="4"/>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 xml:space="preserve">The network should be able to differentiate why the UL access was triggered, i.e. implicit or explicit indication by the UE. </w:t>
      </w:r>
    </w:p>
    <w:p w14:paraId="0729B93F" w14:textId="77777777" w:rsidR="00317F63" w:rsidRPr="00305B9C" w:rsidRDefault="00317F63" w:rsidP="00317F63">
      <w:pPr>
        <w:pStyle w:val="Doc-text2"/>
        <w:numPr>
          <w:ilvl w:val="0"/>
          <w:numId w:val="4"/>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 xml:space="preserve">MT-SDT is data that belongs to bearers that are configured for SDT.    FFS whether the configuration is MO-SDT or MT-SDT specific.  The network can only trigger MT-SDT if the data belongs to those bearers.  </w:t>
      </w:r>
    </w:p>
    <w:p w14:paraId="66B451CB" w14:textId="77777777" w:rsidR="00317F63" w:rsidRPr="00305B9C" w:rsidRDefault="00317F63" w:rsidP="00317F63">
      <w:pPr>
        <w:pStyle w:val="Doc-text2"/>
        <w:numPr>
          <w:ilvl w:val="0"/>
          <w:numId w:val="4"/>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It is possible for the network to configure only MT-SDT without MO-SDT RA resources and/or CG-SDT.  Subsequent UL/DL data belonging to SDT bearers while in INACTIVE is allowed like MO-SDT procedure.  FFS stage 3 details</w:t>
      </w:r>
    </w:p>
    <w:p w14:paraId="2EB2C385" w14:textId="77777777" w:rsidR="00317F63" w:rsidRPr="00305B9C" w:rsidRDefault="00317F63" w:rsidP="00317F63">
      <w:pPr>
        <w:pStyle w:val="Doc-text2"/>
        <w:numPr>
          <w:ilvl w:val="0"/>
          <w:numId w:val="4"/>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305B9C">
        <w:t>New Resume cause in RRC resume will be introduced, one code point MT-SDT indication</w:t>
      </w:r>
    </w:p>
    <w:p w14:paraId="1B0398F0" w14:textId="77777777" w:rsidR="00317F63" w:rsidRPr="00305B9C" w:rsidRDefault="00317F63" w:rsidP="00317F63">
      <w:pPr>
        <w:pStyle w:val="Doc-text2"/>
        <w:ind w:left="0" w:firstLine="0"/>
      </w:pPr>
    </w:p>
    <w:p w14:paraId="7C0BCE0F" w14:textId="001C9B6B" w:rsidR="00317F63" w:rsidRPr="00583731" w:rsidRDefault="00317F63" w:rsidP="00317F63">
      <w:pPr>
        <w:rPr>
          <w:lang w:eastAsia="sv-SE"/>
        </w:rPr>
      </w:pPr>
      <w:r w:rsidRPr="00A56945">
        <w:rPr>
          <w:lang w:eastAsia="sv-SE"/>
        </w:rPr>
        <w:t xml:space="preserve">This contribution </w:t>
      </w:r>
      <w:r>
        <w:rPr>
          <w:lang w:eastAsia="sv-SE"/>
        </w:rPr>
        <w:t>provides a discussion on mobile terminated small data transmission.</w:t>
      </w:r>
    </w:p>
    <w:p w14:paraId="6BECFDAC" w14:textId="77777777" w:rsidR="00317F63" w:rsidRDefault="00317F63" w:rsidP="00317F63">
      <w:pPr>
        <w:pStyle w:val="Heading1"/>
      </w:pPr>
      <w:r>
        <w:t>Discussion</w:t>
      </w:r>
    </w:p>
    <w:p w14:paraId="7DCCA2CC" w14:textId="77777777" w:rsidR="00317F63" w:rsidRPr="00557A83" w:rsidRDefault="00317F63" w:rsidP="00317F63">
      <w:pPr>
        <w:pStyle w:val="Heading2"/>
      </w:pPr>
      <w:r w:rsidRPr="00557A83">
        <w:t xml:space="preserve">Triggering </w:t>
      </w:r>
      <w:r>
        <w:t>of MT-</w:t>
      </w:r>
      <w:r w:rsidRPr="00557A83">
        <w:t>SDT</w:t>
      </w:r>
    </w:p>
    <w:p w14:paraId="2E8E5AEE" w14:textId="069743F9" w:rsidR="00317F63" w:rsidRDefault="00317F63" w:rsidP="00317F63">
      <w:r>
        <w:t xml:space="preserve">Per the work item </w:t>
      </w:r>
      <w:r>
        <w:rPr>
          <w:lang w:eastAsia="sv-SE"/>
        </w:rPr>
        <w:t>description</w:t>
      </w:r>
      <w:r>
        <w:t xml:space="preserve"> [1], </w:t>
      </w:r>
      <w:r w:rsidR="00003CA5">
        <w:t>MT-SDT</w:t>
      </w:r>
      <w:r>
        <w:t xml:space="preserve"> is </w:t>
      </w:r>
      <w:r w:rsidRPr="005B218E">
        <w:t>support</w:t>
      </w:r>
      <w:r>
        <w:t>ed using</w:t>
      </w:r>
      <w:r w:rsidRPr="005B218E">
        <w:t xml:space="preserve"> RA-SDT and CG-SDT </w:t>
      </w:r>
      <w:r>
        <w:t xml:space="preserve">(SPS) resources </w:t>
      </w:r>
      <w:r w:rsidRPr="005B218E">
        <w:t>as the UL response</w:t>
      </w:r>
      <w:r>
        <w:t xml:space="preserve">. Further, </w:t>
      </w:r>
      <w:r w:rsidR="00003CA5">
        <w:t>MT-SDT</w:t>
      </w:r>
      <w:r>
        <w:t xml:space="preserve"> can be triggered by reception of paging in Inactive state.</w:t>
      </w:r>
      <w:r w:rsidRPr="00103544">
        <w:t xml:space="preserve"> </w:t>
      </w:r>
    </w:p>
    <w:p w14:paraId="1E5BE521" w14:textId="17A72D2A" w:rsidR="00317F63" w:rsidRDefault="00317F63" w:rsidP="00317F63">
      <w:r>
        <w:lastRenderedPageBreak/>
        <w:t xml:space="preserve">Similar to MO-SDT, there can be one or more conditions for </w:t>
      </w:r>
      <w:r w:rsidR="0079737A">
        <w:t>triggering</w:t>
      </w:r>
      <w:r>
        <w:t xml:space="preserve"> the SDT procedure, to ensure conditions are right for the procedure to succeed. These may include channel conditions</w:t>
      </w:r>
      <w:r w:rsidR="004A7661">
        <w:t xml:space="preserve"> (e.g. RSRP level being above a threshold configured by broadcast signalling)</w:t>
      </w:r>
      <w:r>
        <w:t xml:space="preserve">, </w:t>
      </w:r>
      <w:r w:rsidR="004A7661">
        <w:t xml:space="preserve">and the </w:t>
      </w:r>
      <w:r>
        <w:t>payload size</w:t>
      </w:r>
      <w:r w:rsidR="004A7661">
        <w:t>.</w:t>
      </w:r>
    </w:p>
    <w:p w14:paraId="037C5989" w14:textId="7D9A0687" w:rsidR="00D01D01" w:rsidRDefault="00D01D01" w:rsidP="00317F63">
      <w:r>
        <w:t>For MO-SDT, the UE only uses UL-CG SDT resources when time aligned and has not changed serving cells since going into Inactive. UL CG-SDT usage also comes with an alignment with measured SSBs. Given not all DRBs is expected another TB as response, MT-SDT can be configured to be limited to a subset of configured SDT DRBs.</w:t>
      </w:r>
      <w:r w:rsidR="00FE49ED">
        <w:t xml:space="preserve"> The same R17 DRB configuration for SDT can be used for MT-SDT as well to designate MT-SDT DRBs.</w:t>
      </w:r>
    </w:p>
    <w:p w14:paraId="350303E7" w14:textId="6CE79E9F" w:rsidR="004A7661" w:rsidRDefault="00317F63" w:rsidP="00317F63">
      <w:pPr>
        <w:ind w:left="1350" w:hanging="1350"/>
      </w:pPr>
      <w:r w:rsidRPr="006151B4">
        <w:rPr>
          <w:b/>
          <w:bCs/>
        </w:rPr>
        <w:t xml:space="preserve">Proposal </w:t>
      </w:r>
      <w:r>
        <w:rPr>
          <w:b/>
          <w:bCs/>
        </w:rPr>
        <w:t>1</w:t>
      </w:r>
      <w:r w:rsidRPr="006151B4">
        <w:t>:</w:t>
      </w:r>
      <w:r>
        <w:tab/>
        <w:t xml:space="preserve">SDT procedure is initiated if </w:t>
      </w:r>
      <w:r w:rsidR="0079737A">
        <w:t>at the following</w:t>
      </w:r>
      <w:r>
        <w:t xml:space="preserve"> conditions are met</w:t>
      </w:r>
      <w:r w:rsidR="004A7661">
        <w:t xml:space="preserve"> after reception of paging message with MT-SDT indication</w:t>
      </w:r>
      <w:r>
        <w:t xml:space="preserve">: </w:t>
      </w:r>
    </w:p>
    <w:p w14:paraId="582ABA54" w14:textId="77777777" w:rsidR="004A7661" w:rsidRDefault="00317F63" w:rsidP="004A7661">
      <w:pPr>
        <w:pStyle w:val="ListParagraph"/>
        <w:numPr>
          <w:ilvl w:val="0"/>
          <w:numId w:val="5"/>
        </w:numPr>
      </w:pPr>
      <w:r>
        <w:t xml:space="preserve">RSRP </w:t>
      </w:r>
      <w:r w:rsidR="0079737A">
        <w:t>level above a configured threshold</w:t>
      </w:r>
      <w:r>
        <w:t xml:space="preserve">, </w:t>
      </w:r>
    </w:p>
    <w:p w14:paraId="17A1B650" w14:textId="31DBCBEB" w:rsidR="004A7661" w:rsidRDefault="00317F63" w:rsidP="004A7661">
      <w:pPr>
        <w:pStyle w:val="ListParagraph"/>
        <w:numPr>
          <w:ilvl w:val="0"/>
          <w:numId w:val="5"/>
        </w:numPr>
      </w:pPr>
      <w:r>
        <w:t>payload size</w:t>
      </w:r>
      <w:r w:rsidR="0079737A">
        <w:t xml:space="preserve"> lower than a configured threshold, </w:t>
      </w:r>
    </w:p>
    <w:p w14:paraId="7AA19402" w14:textId="716A9F09" w:rsidR="00317F63" w:rsidRDefault="0079737A" w:rsidP="004A7661">
      <w:pPr>
        <w:pStyle w:val="ListParagraph"/>
        <w:numPr>
          <w:ilvl w:val="0"/>
          <w:numId w:val="5"/>
        </w:numPr>
      </w:pPr>
      <w:r>
        <w:t>data availability from a subset of DRBs configured for SDT</w:t>
      </w:r>
      <w:r w:rsidR="00FE49ED">
        <w:t xml:space="preserve"> (R17 </w:t>
      </w:r>
      <w:proofErr w:type="spellStart"/>
      <w:r w:rsidR="00FE49ED">
        <w:t>sdt</w:t>
      </w:r>
      <w:proofErr w:type="spellEnd"/>
      <w:r w:rsidR="00FE49ED">
        <w:t>-DRB configuration),</w:t>
      </w:r>
    </w:p>
    <w:p w14:paraId="323C13BD" w14:textId="75CDC0CE" w:rsidR="00FE49ED" w:rsidRDefault="00FE49ED" w:rsidP="004A7661">
      <w:pPr>
        <w:pStyle w:val="ListParagraph"/>
        <w:numPr>
          <w:ilvl w:val="0"/>
          <w:numId w:val="5"/>
        </w:numPr>
      </w:pPr>
      <w:r>
        <w:t>TA is valid, in case CG-SDT is used</w:t>
      </w:r>
    </w:p>
    <w:p w14:paraId="57236821" w14:textId="4DDCB408" w:rsidR="0079737A" w:rsidRPr="00A80C69" w:rsidRDefault="0079737A" w:rsidP="0079737A">
      <w:r>
        <w:t xml:space="preserve">For a </w:t>
      </w:r>
      <w:r w:rsidR="00003CA5">
        <w:t>MT-SDT</w:t>
      </w:r>
      <w:r>
        <w:t xml:space="preserve"> procedure triggered by paging, the UE may or may not have a valid </w:t>
      </w:r>
      <w:r w:rsidR="00003CA5">
        <w:t>MT-CG</w:t>
      </w:r>
      <w:r>
        <w:t xml:space="preserve"> SDT resource. Given the network is aware of the such resource availability, the DL traffic pattern, whether there is subsequent SDT or not, and whether the UE is time aligned or not, the MT-SDT trigger in the paging message can indicate whether to use RA-SDT, a </w:t>
      </w:r>
      <w:r w:rsidR="00003CA5">
        <w:t>MT-CG</w:t>
      </w:r>
      <w:r>
        <w:t xml:space="preserve"> SDT resource, or a downlink dynamic assignment for the reception of the MT-SDT payload.</w:t>
      </w:r>
      <w:r w:rsidR="004A7661">
        <w:t xml:space="preserve"> The paging indication can also provide info on what resource to use for the UE response.</w:t>
      </w:r>
    </w:p>
    <w:p w14:paraId="045EA511" w14:textId="4F025744" w:rsidR="0079737A" w:rsidRDefault="0079737A" w:rsidP="0079737A">
      <w:pPr>
        <w:ind w:left="1350" w:hanging="1350"/>
      </w:pPr>
      <w:r w:rsidRPr="006151B4">
        <w:rPr>
          <w:b/>
          <w:bCs/>
        </w:rPr>
        <w:t xml:space="preserve">Proposal </w:t>
      </w:r>
      <w:r w:rsidR="003067BF">
        <w:rPr>
          <w:b/>
          <w:bCs/>
        </w:rPr>
        <w:t>2</w:t>
      </w:r>
      <w:r w:rsidRPr="006151B4">
        <w:t>:</w:t>
      </w:r>
      <w:r>
        <w:tab/>
        <w:t xml:space="preserve">For a </w:t>
      </w:r>
      <w:r w:rsidR="00003CA5">
        <w:t>MT-SDT</w:t>
      </w:r>
      <w:r>
        <w:t xml:space="preserve"> procedure triggered by paging, the MT-SDT trigger in the paging message indicates whether to use RA-SDT</w:t>
      </w:r>
      <w:r w:rsidR="004A7661">
        <w:t xml:space="preserve"> or </w:t>
      </w:r>
      <w:r>
        <w:t>CG-SDT</w:t>
      </w:r>
      <w:r w:rsidR="00FE49ED">
        <w:t xml:space="preserve"> for the initiated SDT procedure</w:t>
      </w:r>
      <w:r>
        <w:t xml:space="preserve">. </w:t>
      </w:r>
    </w:p>
    <w:p w14:paraId="74D62A58" w14:textId="77777777" w:rsidR="0079737A" w:rsidRPr="00103544" w:rsidRDefault="0079737A" w:rsidP="00317F63">
      <w:pPr>
        <w:ind w:left="1350" w:hanging="1350"/>
      </w:pPr>
    </w:p>
    <w:p w14:paraId="159B69AB" w14:textId="77777777" w:rsidR="00317F63" w:rsidRDefault="00317F63" w:rsidP="00317F63">
      <w:pPr>
        <w:pStyle w:val="Heading2"/>
      </w:pPr>
      <w:r>
        <w:t>MT-</w:t>
      </w:r>
      <w:r w:rsidRPr="00557A83">
        <w:t xml:space="preserve">SDT </w:t>
      </w:r>
      <w:r>
        <w:t>procedure</w:t>
      </w:r>
    </w:p>
    <w:p w14:paraId="1CA8188A" w14:textId="5227A94C" w:rsidR="0079737A" w:rsidRDefault="00317F63" w:rsidP="00317F63">
      <w:r>
        <w:t xml:space="preserve">Similar to UL CG SDT, </w:t>
      </w:r>
      <w:r w:rsidR="00003CA5">
        <w:t>MT-CG</w:t>
      </w:r>
      <w:r>
        <w:t xml:space="preserve"> resources can be configured by the RRC release message</w:t>
      </w:r>
      <w:r w:rsidR="00FE49ED">
        <w:t xml:space="preserve"> or broadcast signalling</w:t>
      </w:r>
      <w:r>
        <w:t>.</w:t>
      </w:r>
      <w:r w:rsidR="00003CA5">
        <w:t xml:space="preserve"> Given the payload associated with MT-SDT can be different than that of MO-SDT, configured MO-SDT CG resources may not be sufficient.</w:t>
      </w:r>
    </w:p>
    <w:p w14:paraId="496CB63C" w14:textId="60C3AD5B" w:rsidR="00317F63" w:rsidRDefault="00317F63" w:rsidP="00317F63">
      <w:pPr>
        <w:ind w:left="1350" w:hanging="1350"/>
      </w:pPr>
      <w:r w:rsidRPr="006151B4">
        <w:rPr>
          <w:b/>
          <w:bCs/>
        </w:rPr>
        <w:t xml:space="preserve">Proposal </w:t>
      </w:r>
      <w:r w:rsidR="003067BF">
        <w:rPr>
          <w:b/>
          <w:bCs/>
        </w:rPr>
        <w:t>3</w:t>
      </w:r>
      <w:r w:rsidRPr="006151B4">
        <w:t>:</w:t>
      </w:r>
      <w:r>
        <w:tab/>
        <w:t xml:space="preserve">UE can be configured with </w:t>
      </w:r>
      <w:r w:rsidR="0079737A">
        <w:t>MT-</w:t>
      </w:r>
      <w:r>
        <w:t xml:space="preserve">CG resources for </w:t>
      </w:r>
      <w:r w:rsidR="00003CA5">
        <w:t>MT-SDT</w:t>
      </w:r>
      <w:r>
        <w:t xml:space="preserve"> by RRC release message</w:t>
      </w:r>
      <w:r w:rsidR="00FE49ED">
        <w:t xml:space="preserve"> or SIB signalling</w:t>
      </w:r>
      <w:r w:rsidR="00574FCB">
        <w:t>, separ</w:t>
      </w:r>
      <w:r w:rsidR="00003CA5">
        <w:t>ately from MO-SDT CG resources</w:t>
      </w:r>
      <w:r>
        <w:t xml:space="preserve">. FFS validity conditions of </w:t>
      </w:r>
      <w:r w:rsidR="00003CA5">
        <w:t>MT-SDT</w:t>
      </w:r>
      <w:r>
        <w:t xml:space="preserve"> resources.</w:t>
      </w:r>
    </w:p>
    <w:p w14:paraId="0DC8E1EE" w14:textId="77777777" w:rsidR="00317F63" w:rsidRDefault="00317F63" w:rsidP="00317F63">
      <w:pPr>
        <w:rPr>
          <w:b/>
          <w:bCs/>
        </w:rPr>
      </w:pPr>
      <w:r>
        <w:t>Similar to UL SDT, there is a need to ensure MT-SDT transmissions are also reliable by HARQ. It is therefore imperative to support HARQ feedback, either on PUCCH or as UCI on PUSCH, following the reception of an MT-SDT PDU. For data received on msgB or Msg4, existing PUCCH feedback resources can be re-used. Otherwise, explicitly PUCCH resources can be configured for use in Inactive state to provide such feedback. PUCCH transmissions should be time aligned, as they follow the reception of MT-SDT which implies the UE is already time aligned (e.g. either following a RACH procedure or following usage of UL CG-SDT).</w:t>
      </w:r>
    </w:p>
    <w:p w14:paraId="6E902473" w14:textId="423CEADD" w:rsidR="00317F63" w:rsidRDefault="00317F63" w:rsidP="00317F63">
      <w:pPr>
        <w:ind w:left="1350" w:hanging="1350"/>
      </w:pPr>
      <w:r w:rsidRPr="006151B4">
        <w:rPr>
          <w:b/>
          <w:bCs/>
        </w:rPr>
        <w:t xml:space="preserve">Proposal </w:t>
      </w:r>
      <w:r w:rsidR="003067BF">
        <w:rPr>
          <w:b/>
          <w:bCs/>
        </w:rPr>
        <w:t>4</w:t>
      </w:r>
      <w:r w:rsidRPr="006151B4">
        <w:t>:</w:t>
      </w:r>
      <w:r>
        <w:tab/>
        <w:t>S</w:t>
      </w:r>
      <w:r w:rsidRPr="00DF3754">
        <w:t xml:space="preserve">upport HARQ </w:t>
      </w:r>
      <w:r>
        <w:t xml:space="preserve">feedback </w:t>
      </w:r>
      <w:r w:rsidRPr="00DF3754">
        <w:t>for</w:t>
      </w:r>
      <w:r>
        <w:t xml:space="preserve"> MT-SDT</w:t>
      </w:r>
      <w:r w:rsidRPr="00DF3754">
        <w:t xml:space="preserve"> </w:t>
      </w:r>
      <w:r>
        <w:t xml:space="preserve">payloads received on RA-SDT, CG SDT, or dynamic </w:t>
      </w:r>
      <w:r w:rsidR="0079737A">
        <w:t>assignments</w:t>
      </w:r>
      <w:r>
        <w:t>.</w:t>
      </w:r>
    </w:p>
    <w:p w14:paraId="2AD34A70" w14:textId="77777777" w:rsidR="00317F63" w:rsidRPr="00A80C69" w:rsidRDefault="00317F63" w:rsidP="00317F63">
      <w:r>
        <w:t xml:space="preserve">In case NACK is provided as feedback, the UE should monitor PDCCH addressed to C-RNTI for the reception of dynamic assignment for a retransmission. </w:t>
      </w:r>
    </w:p>
    <w:p w14:paraId="06DB6B81" w14:textId="14B8C40B" w:rsidR="00317F63" w:rsidRDefault="00317F63" w:rsidP="00317F63">
      <w:pPr>
        <w:ind w:left="1350" w:hanging="1350"/>
      </w:pPr>
      <w:r w:rsidRPr="006151B4">
        <w:rPr>
          <w:b/>
          <w:bCs/>
        </w:rPr>
        <w:t xml:space="preserve">Proposal </w:t>
      </w:r>
      <w:r w:rsidR="003067BF">
        <w:rPr>
          <w:b/>
          <w:bCs/>
        </w:rPr>
        <w:t>5</w:t>
      </w:r>
      <w:r w:rsidRPr="006151B4">
        <w:t>:</w:t>
      </w:r>
      <w:r>
        <w:tab/>
        <w:t xml:space="preserve">The UE monitors PDCCH addressed to C-RNTI after transmission of HARQ NACK feedback for an MT-SDT PDU for reception a </w:t>
      </w:r>
      <w:r w:rsidR="00D01D01">
        <w:t>retransmission.</w:t>
      </w:r>
    </w:p>
    <w:p w14:paraId="2AB7EBE9" w14:textId="777CB574" w:rsidR="00317F63" w:rsidRDefault="00317F63" w:rsidP="00317F63">
      <w:r>
        <w:t xml:space="preserve">Similarly, for the reception of subsequent </w:t>
      </w:r>
      <w:r w:rsidR="00003CA5">
        <w:t>MO/MT</w:t>
      </w:r>
      <w:r>
        <w:t xml:space="preserve"> SDT in Inactive state, the UE should monitor PDCCH addressed to C-RNTI for dynamic assignments, similar to R17. Unlike UL SDT, the UE is not aware if there is subsequent </w:t>
      </w:r>
      <w:r w:rsidR="00003CA5">
        <w:t>SDT</w:t>
      </w:r>
      <w:r>
        <w:t xml:space="preserve"> beyond the first TB. As such, it makes sense for the UE to monitor PDCCH for further assignments only if an indication of subsequent </w:t>
      </w:r>
      <w:r w:rsidR="00003CA5">
        <w:t>MT-SDT</w:t>
      </w:r>
      <w:r>
        <w:t xml:space="preserve"> is provided part of the initial payload.</w:t>
      </w:r>
    </w:p>
    <w:p w14:paraId="39B4A683" w14:textId="4C4DA0AD" w:rsidR="00317F63" w:rsidRDefault="00317F63" w:rsidP="00317F63">
      <w:pPr>
        <w:ind w:left="1350" w:hanging="1350"/>
      </w:pPr>
      <w:r w:rsidRPr="006151B4">
        <w:rPr>
          <w:b/>
          <w:bCs/>
        </w:rPr>
        <w:t xml:space="preserve">Proposal </w:t>
      </w:r>
      <w:r w:rsidR="003067BF">
        <w:rPr>
          <w:b/>
          <w:bCs/>
        </w:rPr>
        <w:t>6</w:t>
      </w:r>
      <w:r w:rsidRPr="006151B4">
        <w:t>:</w:t>
      </w:r>
      <w:r>
        <w:tab/>
        <w:t>The UE monitors PDCCH addressed to C-RNTI after successful reception of the first</w:t>
      </w:r>
      <w:r w:rsidRPr="00DF3754">
        <w:t xml:space="preserve"> </w:t>
      </w:r>
      <w:r w:rsidR="00003CA5">
        <w:t>MT-SDT</w:t>
      </w:r>
      <w:r w:rsidRPr="00DF3754">
        <w:t xml:space="preserve"> PDU</w:t>
      </w:r>
      <w:r>
        <w:t xml:space="preserve">, if an indication of subsequent </w:t>
      </w:r>
      <w:r w:rsidR="00003CA5">
        <w:t>MT-SDT</w:t>
      </w:r>
      <w:r>
        <w:t xml:space="preserve"> is received. </w:t>
      </w:r>
    </w:p>
    <w:p w14:paraId="6264D4D1" w14:textId="74D81040" w:rsidR="00317F63" w:rsidRDefault="00317F63" w:rsidP="00317F63">
      <w:r>
        <w:t xml:space="preserve">Unlike in connected mode, link adaptation and frequent CSI feedback is not provided, and adaptation/maintenance of TCI states is not performed. Therefore, RAN2 can discuss whether beam maintenance is necessary for reception of PDSCH assignments in Inactive state, e.g. not part of a RACH procedure. One way is that UE monitors </w:t>
      </w:r>
      <w:r w:rsidR="00D01D01">
        <w:t>MT-CG-SDT</w:t>
      </w:r>
      <w:r>
        <w:t xml:space="preserve"> using the same SSB(s) associated with the selected UL </w:t>
      </w:r>
      <w:r>
        <w:lastRenderedPageBreak/>
        <w:t>CG-SDT configuration, but UL SDT resources are only limited to the same cell from which the UE has entered Inactive state.</w:t>
      </w:r>
    </w:p>
    <w:p w14:paraId="51453EF9" w14:textId="2ECC09D4" w:rsidR="00317F63" w:rsidRDefault="00317F63" w:rsidP="00317F63">
      <w:pPr>
        <w:ind w:left="1350" w:hanging="1350"/>
      </w:pPr>
      <w:r w:rsidRPr="006151B4">
        <w:rPr>
          <w:b/>
          <w:bCs/>
        </w:rPr>
        <w:t xml:space="preserve">Proposal </w:t>
      </w:r>
      <w:r w:rsidR="003067BF">
        <w:rPr>
          <w:b/>
          <w:bCs/>
        </w:rPr>
        <w:t>7</w:t>
      </w:r>
      <w:r w:rsidRPr="006151B4">
        <w:t>:</w:t>
      </w:r>
      <w:r>
        <w:tab/>
        <w:t xml:space="preserve">RAN2 to discuss whether </w:t>
      </w:r>
      <w:r w:rsidRPr="00DF3754">
        <w:t xml:space="preserve">beam maintenance in INACTIVE </w:t>
      </w:r>
      <w:r>
        <w:t xml:space="preserve">is necessary </w:t>
      </w:r>
      <w:r w:rsidRPr="00DF3754">
        <w:t xml:space="preserve">to correctly receive </w:t>
      </w:r>
      <w:r w:rsidR="00D01D01">
        <w:t>on MT-</w:t>
      </w:r>
      <w:r>
        <w:t>CG-SDT or subsequent MT-SDT</w:t>
      </w:r>
    </w:p>
    <w:p w14:paraId="688DC99F" w14:textId="77777777" w:rsidR="00317F63" w:rsidRDefault="00317F63" w:rsidP="00317F63">
      <w:pPr>
        <w:pStyle w:val="Heading1"/>
      </w:pPr>
      <w:r w:rsidRPr="004A1A95">
        <w:t>Conclusion</w:t>
      </w:r>
    </w:p>
    <w:p w14:paraId="227CB992" w14:textId="4198879D" w:rsidR="00317F63" w:rsidRDefault="00317F63" w:rsidP="00317F63">
      <w:pPr>
        <w:rPr>
          <w:lang w:val="en-US"/>
        </w:rPr>
      </w:pPr>
      <w:r w:rsidRPr="00A56945">
        <w:rPr>
          <w:lang w:eastAsia="sv-SE"/>
        </w:rPr>
        <w:t xml:space="preserve">This contribution </w:t>
      </w:r>
      <w:r>
        <w:rPr>
          <w:lang w:eastAsia="sv-SE"/>
        </w:rPr>
        <w:t xml:space="preserve">provides an initial discussion on mobile terminated small data transmission. </w:t>
      </w:r>
      <w:r>
        <w:rPr>
          <w:lang w:val="en-US"/>
        </w:rPr>
        <w:t>The following observations and proposals are provided:</w:t>
      </w:r>
    </w:p>
    <w:p w14:paraId="77D6F2B1" w14:textId="77777777" w:rsidR="00FE49ED" w:rsidRDefault="00FE49ED" w:rsidP="00FE49ED">
      <w:pPr>
        <w:ind w:left="1350" w:hanging="1350"/>
      </w:pPr>
      <w:r w:rsidRPr="006151B4">
        <w:rPr>
          <w:b/>
          <w:bCs/>
        </w:rPr>
        <w:t xml:space="preserve">Proposal </w:t>
      </w:r>
      <w:r>
        <w:rPr>
          <w:b/>
          <w:bCs/>
        </w:rPr>
        <w:t>1</w:t>
      </w:r>
      <w:r w:rsidRPr="006151B4">
        <w:t>:</w:t>
      </w:r>
      <w:r>
        <w:tab/>
        <w:t xml:space="preserve">SDT procedure is initiated if at the following conditions are met after reception of paging message with MT-SDT indication: </w:t>
      </w:r>
    </w:p>
    <w:p w14:paraId="0C295588" w14:textId="77777777" w:rsidR="00FE49ED" w:rsidRDefault="00FE49ED" w:rsidP="00FE49ED">
      <w:pPr>
        <w:pStyle w:val="ListParagraph"/>
        <w:numPr>
          <w:ilvl w:val="0"/>
          <w:numId w:val="5"/>
        </w:numPr>
      </w:pPr>
      <w:r>
        <w:t xml:space="preserve">RSRP level above a configured threshold, </w:t>
      </w:r>
    </w:p>
    <w:p w14:paraId="28C3052B" w14:textId="77777777" w:rsidR="00FE49ED" w:rsidRDefault="00FE49ED" w:rsidP="00FE49ED">
      <w:pPr>
        <w:pStyle w:val="ListParagraph"/>
        <w:numPr>
          <w:ilvl w:val="0"/>
          <w:numId w:val="5"/>
        </w:numPr>
      </w:pPr>
      <w:r>
        <w:t xml:space="preserve">payload size lower than a configured threshold, </w:t>
      </w:r>
    </w:p>
    <w:p w14:paraId="5CAA1664" w14:textId="77777777" w:rsidR="00FE49ED" w:rsidRDefault="00FE49ED" w:rsidP="00FE49ED">
      <w:pPr>
        <w:pStyle w:val="ListParagraph"/>
        <w:numPr>
          <w:ilvl w:val="0"/>
          <w:numId w:val="5"/>
        </w:numPr>
      </w:pPr>
      <w:r>
        <w:t xml:space="preserve">data availability from a subset of DRBs configured for SDT (R17 </w:t>
      </w:r>
      <w:proofErr w:type="spellStart"/>
      <w:r>
        <w:t>sdt</w:t>
      </w:r>
      <w:proofErr w:type="spellEnd"/>
      <w:r>
        <w:t>-DRB configuration),</w:t>
      </w:r>
    </w:p>
    <w:p w14:paraId="0429D705" w14:textId="77777777" w:rsidR="00FE49ED" w:rsidRDefault="00FE49ED" w:rsidP="00FE49ED">
      <w:pPr>
        <w:pStyle w:val="ListParagraph"/>
        <w:numPr>
          <w:ilvl w:val="0"/>
          <w:numId w:val="5"/>
        </w:numPr>
      </w:pPr>
      <w:r>
        <w:t>TA is valid, in case CG-SDT is used</w:t>
      </w:r>
    </w:p>
    <w:p w14:paraId="22D13C21" w14:textId="77777777" w:rsidR="005742AF" w:rsidRDefault="005742AF" w:rsidP="005742AF">
      <w:pPr>
        <w:ind w:left="1350" w:hanging="1350"/>
      </w:pPr>
      <w:r w:rsidRPr="006151B4">
        <w:rPr>
          <w:b/>
          <w:bCs/>
        </w:rPr>
        <w:t xml:space="preserve">Proposal </w:t>
      </w:r>
      <w:r>
        <w:rPr>
          <w:b/>
          <w:bCs/>
        </w:rPr>
        <w:t>2</w:t>
      </w:r>
      <w:r w:rsidRPr="006151B4">
        <w:t>:</w:t>
      </w:r>
      <w:r>
        <w:tab/>
        <w:t xml:space="preserve">For a MT-SDT procedure triggered by paging, the MT-SDT trigger in the paging message indicates whether to use RA-SDT or CG-SDT. </w:t>
      </w:r>
    </w:p>
    <w:p w14:paraId="66418256" w14:textId="77777777" w:rsidR="00FE49ED" w:rsidRDefault="00FE49ED" w:rsidP="00FE49ED">
      <w:pPr>
        <w:ind w:left="1350" w:hanging="1350"/>
      </w:pPr>
      <w:r w:rsidRPr="006151B4">
        <w:rPr>
          <w:b/>
          <w:bCs/>
        </w:rPr>
        <w:t xml:space="preserve">Proposal </w:t>
      </w:r>
      <w:r>
        <w:rPr>
          <w:b/>
          <w:bCs/>
        </w:rPr>
        <w:t>3</w:t>
      </w:r>
      <w:r w:rsidRPr="006151B4">
        <w:t>:</w:t>
      </w:r>
      <w:r>
        <w:tab/>
        <w:t>UE can be configured with MT-CG resources for MT-SDT by RRC release message or SIB signalling, separately from MO-SDT CG resources. FFS validity conditions of MT-SDT resources.</w:t>
      </w:r>
    </w:p>
    <w:p w14:paraId="2728BF66" w14:textId="77777777" w:rsidR="005742AF" w:rsidRDefault="005742AF" w:rsidP="005742AF">
      <w:pPr>
        <w:ind w:left="1350" w:hanging="1350"/>
      </w:pPr>
      <w:r w:rsidRPr="006151B4">
        <w:rPr>
          <w:b/>
          <w:bCs/>
        </w:rPr>
        <w:t xml:space="preserve">Proposal </w:t>
      </w:r>
      <w:r>
        <w:rPr>
          <w:b/>
          <w:bCs/>
        </w:rPr>
        <w:t>4</w:t>
      </w:r>
      <w:r w:rsidRPr="006151B4">
        <w:t>:</w:t>
      </w:r>
      <w:r>
        <w:tab/>
        <w:t>S</w:t>
      </w:r>
      <w:r w:rsidRPr="00DF3754">
        <w:t xml:space="preserve">upport HARQ </w:t>
      </w:r>
      <w:r>
        <w:t xml:space="preserve">feedback </w:t>
      </w:r>
      <w:r w:rsidRPr="00DF3754">
        <w:t>for</w:t>
      </w:r>
      <w:r>
        <w:t xml:space="preserve"> MT-SDT</w:t>
      </w:r>
      <w:r w:rsidRPr="00DF3754">
        <w:t xml:space="preserve"> </w:t>
      </w:r>
      <w:r>
        <w:t>payloads received on RA-SDT, CG SDT, or dynamic assignments.</w:t>
      </w:r>
    </w:p>
    <w:p w14:paraId="61436DEA" w14:textId="77777777" w:rsidR="005742AF" w:rsidRDefault="005742AF" w:rsidP="005742AF">
      <w:pPr>
        <w:ind w:left="1350" w:hanging="1350"/>
      </w:pPr>
      <w:r w:rsidRPr="006151B4">
        <w:rPr>
          <w:b/>
          <w:bCs/>
        </w:rPr>
        <w:t xml:space="preserve">Proposal </w:t>
      </w:r>
      <w:r>
        <w:rPr>
          <w:b/>
          <w:bCs/>
        </w:rPr>
        <w:t>5</w:t>
      </w:r>
      <w:r w:rsidRPr="006151B4">
        <w:t>:</w:t>
      </w:r>
      <w:r>
        <w:tab/>
        <w:t>The UE monitors PDCCH addressed to C-RNTI after transmission of HARQ NACK feedback for an MT-SDT PDU for reception a retransmission.</w:t>
      </w:r>
    </w:p>
    <w:p w14:paraId="72DC9D3F" w14:textId="77777777" w:rsidR="005742AF" w:rsidRDefault="005742AF" w:rsidP="005742AF">
      <w:pPr>
        <w:ind w:left="1350" w:hanging="1350"/>
      </w:pPr>
      <w:r w:rsidRPr="006151B4">
        <w:rPr>
          <w:b/>
          <w:bCs/>
        </w:rPr>
        <w:t xml:space="preserve">Proposal </w:t>
      </w:r>
      <w:r>
        <w:rPr>
          <w:b/>
          <w:bCs/>
        </w:rPr>
        <w:t>6</w:t>
      </w:r>
      <w:r w:rsidRPr="006151B4">
        <w:t>:</w:t>
      </w:r>
      <w:r>
        <w:tab/>
        <w:t>The UE monitors PDCCH addressed to C-RNTI after successful reception of the first</w:t>
      </w:r>
      <w:r w:rsidRPr="00DF3754">
        <w:t xml:space="preserve"> </w:t>
      </w:r>
      <w:r>
        <w:t>MT-SDT</w:t>
      </w:r>
      <w:r w:rsidRPr="00DF3754">
        <w:t xml:space="preserve"> PDU</w:t>
      </w:r>
      <w:r>
        <w:t xml:space="preserve">, if an indication of subsequent MT-SDT is received. </w:t>
      </w:r>
    </w:p>
    <w:p w14:paraId="13976B47" w14:textId="11696B73" w:rsidR="005742AF" w:rsidRPr="005742AF" w:rsidRDefault="005742AF" w:rsidP="005742AF">
      <w:pPr>
        <w:ind w:left="1350" w:hanging="1350"/>
      </w:pPr>
      <w:r w:rsidRPr="006151B4">
        <w:rPr>
          <w:b/>
          <w:bCs/>
        </w:rPr>
        <w:t xml:space="preserve">Proposal </w:t>
      </w:r>
      <w:r>
        <w:rPr>
          <w:b/>
          <w:bCs/>
        </w:rPr>
        <w:t>7</w:t>
      </w:r>
      <w:r w:rsidRPr="006151B4">
        <w:t>:</w:t>
      </w:r>
      <w:r>
        <w:tab/>
        <w:t xml:space="preserve">RAN2 to discuss whether </w:t>
      </w:r>
      <w:r w:rsidRPr="00DF3754">
        <w:t xml:space="preserve">beam maintenance in INACTIVE </w:t>
      </w:r>
      <w:r>
        <w:t xml:space="preserve">is necessary </w:t>
      </w:r>
      <w:r w:rsidRPr="00DF3754">
        <w:t xml:space="preserve">to correctly receive </w:t>
      </w:r>
      <w:r>
        <w:t>on MT-CG-SDT or subsequent MT-SDT.</w:t>
      </w:r>
    </w:p>
    <w:p w14:paraId="1F65E0FF" w14:textId="77777777" w:rsidR="00317F63" w:rsidRPr="004A1A95" w:rsidRDefault="00317F63" w:rsidP="00317F63">
      <w:pPr>
        <w:pStyle w:val="Heading1"/>
      </w:pPr>
      <w:r w:rsidRPr="004A1A95">
        <w:t>References</w:t>
      </w:r>
    </w:p>
    <w:p w14:paraId="22756BFC" w14:textId="77777777" w:rsidR="00317F63" w:rsidRDefault="00317F63" w:rsidP="00317F63">
      <w:pPr>
        <w:pStyle w:val="Reference"/>
        <w:tabs>
          <w:tab w:val="left" w:pos="567"/>
        </w:tabs>
        <w:spacing w:after="60" w:line="259" w:lineRule="auto"/>
      </w:pPr>
      <w:bookmarkStart w:id="0" w:name="_Ref47299212"/>
      <w:r w:rsidRPr="00D94C3E">
        <w:t>RP-213583</w:t>
      </w:r>
      <w:r w:rsidRPr="00A56945">
        <w:t>, “</w:t>
      </w:r>
      <w:r w:rsidRPr="00D94C3E">
        <w:rPr>
          <w:rFonts w:eastAsia="Batang"/>
        </w:rPr>
        <w:t>New WI: Mobile Terminated-Small Data Transmission (MT-SDT) for NR</w:t>
      </w:r>
      <w:r w:rsidRPr="00A56945">
        <w:t xml:space="preserve">”, </w:t>
      </w:r>
      <w:bookmarkEnd w:id="0"/>
      <w:r w:rsidRPr="00D94C3E">
        <w:t>ZTE</w:t>
      </w:r>
      <w:r w:rsidRPr="00A56945">
        <w:t>.</w:t>
      </w:r>
    </w:p>
    <w:p w14:paraId="2E81C83C" w14:textId="77777777" w:rsidR="00FC4518" w:rsidRDefault="00FC4518"/>
    <w:sectPr w:rsidR="00FC451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FD90B" w14:textId="77777777" w:rsidR="00776028" w:rsidRDefault="00776028">
      <w:pPr>
        <w:spacing w:after="0"/>
      </w:pPr>
      <w:r>
        <w:separator/>
      </w:r>
    </w:p>
  </w:endnote>
  <w:endnote w:type="continuationSeparator" w:id="0">
    <w:p w14:paraId="1BDB90F8" w14:textId="77777777" w:rsidR="00776028" w:rsidRDefault="007760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Malgun Gothic"/>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5D42" w14:textId="77777777" w:rsidR="00FC4518" w:rsidRDefault="005742A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3FF1" w14:textId="77777777" w:rsidR="00776028" w:rsidRDefault="00776028">
      <w:pPr>
        <w:spacing w:after="0"/>
      </w:pPr>
      <w:r>
        <w:separator/>
      </w:r>
    </w:p>
  </w:footnote>
  <w:footnote w:type="continuationSeparator" w:id="0">
    <w:p w14:paraId="1CCAEE5C" w14:textId="77777777" w:rsidR="00776028" w:rsidRDefault="007760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0E265C5"/>
    <w:multiLevelType w:val="hybridMultilevel"/>
    <w:tmpl w:val="FD0A13A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111812">
    <w:abstractNumId w:val="0"/>
  </w:num>
  <w:num w:numId="2" w16cid:durableId="1897081987">
    <w:abstractNumId w:val="4"/>
  </w:num>
  <w:num w:numId="3" w16cid:durableId="1737315453">
    <w:abstractNumId w:val="1"/>
  </w:num>
  <w:num w:numId="4" w16cid:durableId="1496260515">
    <w:abstractNumId w:val="2"/>
  </w:num>
  <w:num w:numId="5" w16cid:durableId="1488865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F63"/>
    <w:rsid w:val="00003CA5"/>
    <w:rsid w:val="00042331"/>
    <w:rsid w:val="00224C7E"/>
    <w:rsid w:val="003067BF"/>
    <w:rsid w:val="00317F63"/>
    <w:rsid w:val="003B690E"/>
    <w:rsid w:val="004A7661"/>
    <w:rsid w:val="004C1013"/>
    <w:rsid w:val="005742AF"/>
    <w:rsid w:val="00574FCB"/>
    <w:rsid w:val="00776028"/>
    <w:rsid w:val="0079737A"/>
    <w:rsid w:val="00887483"/>
    <w:rsid w:val="008A03E0"/>
    <w:rsid w:val="00930675"/>
    <w:rsid w:val="00943572"/>
    <w:rsid w:val="00AE045F"/>
    <w:rsid w:val="00C03E21"/>
    <w:rsid w:val="00C348B6"/>
    <w:rsid w:val="00D01D01"/>
    <w:rsid w:val="00FC4518"/>
    <w:rsid w:val="00FE4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6C341"/>
  <w15:docId w15:val="{044A0FD5-73B8-4A17-A63E-C4F1E439C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F6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317F6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17F6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17F6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F63"/>
    <w:pPr>
      <w:numPr>
        <w:ilvl w:val="3"/>
      </w:numPr>
      <w:outlineLvl w:val="3"/>
    </w:pPr>
    <w:rPr>
      <w:sz w:val="24"/>
      <w:szCs w:val="24"/>
    </w:rPr>
  </w:style>
  <w:style w:type="paragraph" w:styleId="Heading5">
    <w:name w:val="heading 5"/>
    <w:basedOn w:val="Heading4"/>
    <w:next w:val="Normal"/>
    <w:link w:val="Heading5Char"/>
    <w:qFormat/>
    <w:rsid w:val="00317F63"/>
    <w:pPr>
      <w:numPr>
        <w:ilvl w:val="4"/>
      </w:numPr>
      <w:outlineLvl w:val="4"/>
    </w:pPr>
    <w:rPr>
      <w:sz w:val="22"/>
      <w:szCs w:val="22"/>
    </w:rPr>
  </w:style>
  <w:style w:type="paragraph" w:styleId="Heading6">
    <w:name w:val="heading 6"/>
    <w:basedOn w:val="Normal"/>
    <w:next w:val="Normal"/>
    <w:link w:val="Heading6Char"/>
    <w:qFormat/>
    <w:rsid w:val="00317F6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F6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F63"/>
    <w:pPr>
      <w:numPr>
        <w:ilvl w:val="7"/>
      </w:numPr>
      <w:outlineLvl w:val="7"/>
    </w:pPr>
  </w:style>
  <w:style w:type="paragraph" w:styleId="Heading9">
    <w:name w:val="heading 9"/>
    <w:basedOn w:val="Heading8"/>
    <w:next w:val="Normal"/>
    <w:link w:val="Heading9Char"/>
    <w:qFormat/>
    <w:rsid w:val="00317F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17F63"/>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17F6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7F6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7F6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17F63"/>
    <w:rPr>
      <w:rFonts w:ascii="Arial" w:eastAsia="Times New Roman" w:hAnsi="Arial" w:cs="Arial"/>
      <w:lang w:val="en-GB" w:eastAsia="zh-CN"/>
    </w:rPr>
  </w:style>
  <w:style w:type="character" w:customStyle="1" w:styleId="Heading6Char">
    <w:name w:val="Heading 6 Char"/>
    <w:basedOn w:val="DefaultParagraphFont"/>
    <w:link w:val="Heading6"/>
    <w:rsid w:val="00317F63"/>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17F63"/>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17F63"/>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17F63"/>
    <w:rPr>
      <w:rFonts w:ascii="Arial" w:eastAsia="Times New Roman" w:hAnsi="Arial" w:cs="Arial"/>
      <w:sz w:val="20"/>
      <w:szCs w:val="20"/>
      <w:lang w:val="en-GB" w:eastAsia="zh-CN"/>
    </w:rPr>
  </w:style>
  <w:style w:type="paragraph" w:customStyle="1" w:styleId="3GPPHeader">
    <w:name w:val="3GPP_Header"/>
    <w:basedOn w:val="Normal"/>
    <w:rsid w:val="00317F63"/>
    <w:pPr>
      <w:tabs>
        <w:tab w:val="left" w:pos="1701"/>
        <w:tab w:val="right" w:pos="9639"/>
      </w:tabs>
      <w:spacing w:after="240"/>
    </w:pPr>
    <w:rPr>
      <w:b/>
      <w:sz w:val="24"/>
    </w:rPr>
  </w:style>
  <w:style w:type="paragraph" w:styleId="Footer">
    <w:name w:val="footer"/>
    <w:basedOn w:val="Header"/>
    <w:link w:val="FooterChar"/>
    <w:semiHidden/>
    <w:rsid w:val="00317F63"/>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317F63"/>
    <w:rPr>
      <w:rFonts w:ascii="Arial" w:eastAsia="Times New Roman" w:hAnsi="Arial" w:cs="Arial"/>
      <w:b/>
      <w:bCs/>
      <w:i/>
      <w:iCs/>
      <w:noProof/>
      <w:sz w:val="18"/>
      <w:szCs w:val="18"/>
      <w:lang w:eastAsia="zh-CN"/>
    </w:rPr>
  </w:style>
  <w:style w:type="paragraph" w:customStyle="1" w:styleId="Reference">
    <w:name w:val="Reference"/>
    <w:basedOn w:val="Normal"/>
    <w:qFormat/>
    <w:rsid w:val="00317F63"/>
    <w:pPr>
      <w:numPr>
        <w:numId w:val="2"/>
      </w:numPr>
    </w:pPr>
  </w:style>
  <w:style w:type="character" w:styleId="PageNumber">
    <w:name w:val="page number"/>
    <w:semiHidden/>
    <w:rsid w:val="00317F63"/>
  </w:style>
  <w:style w:type="paragraph" w:styleId="Header">
    <w:name w:val="header"/>
    <w:basedOn w:val="Normal"/>
    <w:link w:val="HeaderChar"/>
    <w:uiPriority w:val="99"/>
    <w:semiHidden/>
    <w:unhideWhenUsed/>
    <w:rsid w:val="00317F63"/>
    <w:pPr>
      <w:tabs>
        <w:tab w:val="center" w:pos="4680"/>
        <w:tab w:val="right" w:pos="9360"/>
      </w:tabs>
      <w:spacing w:after="0"/>
    </w:pPr>
  </w:style>
  <w:style w:type="character" w:customStyle="1" w:styleId="HeaderChar">
    <w:name w:val="Header Char"/>
    <w:basedOn w:val="DefaultParagraphFont"/>
    <w:link w:val="Header"/>
    <w:uiPriority w:val="99"/>
    <w:semiHidden/>
    <w:rsid w:val="00317F63"/>
    <w:rPr>
      <w:rFonts w:ascii="Arial" w:eastAsia="Times New Roman" w:hAnsi="Arial" w:cs="Times New Roman"/>
      <w:sz w:val="20"/>
      <w:szCs w:val="20"/>
      <w:lang w:val="en-GB" w:eastAsia="zh-CN"/>
    </w:rPr>
  </w:style>
  <w:style w:type="paragraph" w:customStyle="1" w:styleId="Doc-text2">
    <w:name w:val="Doc-text2"/>
    <w:basedOn w:val="Normal"/>
    <w:link w:val="Doc-text2Char"/>
    <w:qFormat/>
    <w:rsid w:val="00317F6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17F63"/>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317F6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7F63"/>
    <w:rPr>
      <w:rFonts w:ascii="Arial" w:eastAsia="MS Mincho" w:hAnsi="Arial" w:cs="Times New Roman"/>
      <w:noProof/>
      <w:sz w:val="20"/>
      <w:szCs w:val="24"/>
      <w:lang w:val="en-GB" w:eastAsia="en-GB"/>
    </w:rPr>
  </w:style>
  <w:style w:type="paragraph" w:styleId="ListParagraph">
    <w:name w:val="List Paragraph"/>
    <w:basedOn w:val="Normal"/>
    <w:uiPriority w:val="34"/>
    <w:qFormat/>
    <w:rsid w:val="004A76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3B40C-0C4F-4DCC-A251-86FA5743143E}">
  <ds:schemaRefs>
    <ds:schemaRef ds:uri="http://schemas.microsoft.com/sharepoint/v3/contenttype/forms"/>
  </ds:schemaRefs>
</ds:datastoreItem>
</file>

<file path=customXml/itemProps2.xml><?xml version="1.0" encoding="utf-8"?>
<ds:datastoreItem xmlns:ds="http://schemas.openxmlformats.org/officeDocument/2006/customXml" ds:itemID="{67493B28-1B53-4AE5-977F-655B18E7EE6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A2EECB0-0023-45B0-B7C9-FEE134D5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Faris</dc:creator>
  <cp:keywords/>
  <dc:description/>
  <cp:lastModifiedBy>InterDigital- Faris</cp:lastModifiedBy>
  <cp:revision>11</cp:revision>
  <dcterms:created xsi:type="dcterms:W3CDTF">2023-02-16T21:57:00Z</dcterms:created>
  <dcterms:modified xsi:type="dcterms:W3CDTF">2023-02-17T03:54:00Z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